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740"/>
        </w:tabs>
        <w:kinsoku/>
        <w:wordWrap/>
        <w:overflowPunct/>
        <w:topLinePunct w:val="0"/>
        <w:autoSpaceDE/>
        <w:autoSpaceDN/>
        <w:bidi w:val="0"/>
        <w:adjustRightInd/>
        <w:snapToGrid/>
        <w:spacing w:line="400" w:lineRule="exact"/>
        <w:jc w:val="center"/>
        <w:textAlignment w:val="auto"/>
        <w:rPr>
          <w:rFonts w:ascii="宋体" w:hAnsi="宋体"/>
          <w:b/>
          <w:sz w:val="36"/>
          <w:szCs w:val="36"/>
        </w:rPr>
      </w:pPr>
      <w:r>
        <w:rPr>
          <w:rFonts w:hint="eastAsia" w:ascii="宋体" w:hAnsi="宋体"/>
          <w:b/>
          <w:sz w:val="36"/>
          <w:szCs w:val="36"/>
        </w:rPr>
        <w:t>2019年成都大学第四届攀岩比赛竞赛规程</w:t>
      </w:r>
    </w:p>
    <w:p>
      <w:pPr>
        <w:keepNext w:val="0"/>
        <w:keepLines w:val="0"/>
        <w:pageBreakBefore w:val="0"/>
        <w:tabs>
          <w:tab w:val="left" w:pos="4740"/>
        </w:tabs>
        <w:kinsoku/>
        <w:wordWrap/>
        <w:overflowPunct/>
        <w:topLinePunct w:val="0"/>
        <w:autoSpaceDE/>
        <w:autoSpaceDN/>
        <w:bidi w:val="0"/>
        <w:adjustRightInd/>
        <w:snapToGrid/>
        <w:spacing w:line="400" w:lineRule="exact"/>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一、主办单位</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Cs/>
          <w:sz w:val="28"/>
          <w:szCs w:val="28"/>
        </w:rPr>
      </w:pPr>
      <w:r>
        <w:rPr>
          <w:rFonts w:hint="eastAsia" w:ascii="宋体" w:hAnsi="宋体" w:cs="宋体"/>
          <w:bCs/>
          <w:sz w:val="28"/>
          <w:szCs w:val="28"/>
        </w:rPr>
        <w:t xml:space="preserve">    成都大学</w:t>
      </w:r>
      <w:r>
        <w:rPr>
          <w:rFonts w:hint="eastAsia" w:ascii="宋体" w:hAnsi="宋体" w:cs="宋体"/>
          <w:bCs/>
          <w:color w:val="000000"/>
          <w:sz w:val="28"/>
          <w:szCs w:val="28"/>
        </w:rPr>
        <w:t>体育运动委员会</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二、承办单位</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Cs/>
          <w:sz w:val="28"/>
          <w:szCs w:val="28"/>
        </w:rPr>
      </w:pPr>
      <w:r>
        <w:rPr>
          <w:rFonts w:hint="eastAsia" w:ascii="宋体" w:hAnsi="宋体" w:cs="宋体"/>
          <w:bCs/>
          <w:sz w:val="28"/>
          <w:szCs w:val="28"/>
        </w:rPr>
        <w:t xml:space="preserve">    成都大学</w:t>
      </w:r>
      <w:r>
        <w:rPr>
          <w:rFonts w:hint="eastAsia" w:ascii="宋体" w:hAnsi="宋体" w:cs="宋体"/>
          <w:bCs/>
          <w:color w:val="000000"/>
          <w:sz w:val="28"/>
          <w:szCs w:val="28"/>
        </w:rPr>
        <w:t>体育学院</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三、协办单位</w:t>
      </w:r>
    </w:p>
    <w:p>
      <w:pPr>
        <w:keepNext w:val="0"/>
        <w:keepLines w:val="0"/>
        <w:pageBreakBefore w:val="0"/>
        <w:widowControl/>
        <w:kinsoku/>
        <w:wordWrap/>
        <w:overflowPunct/>
        <w:topLinePunct w:val="0"/>
        <w:autoSpaceDE/>
        <w:autoSpaceDN/>
        <w:bidi w:val="0"/>
        <w:adjustRightInd/>
        <w:snapToGrid/>
        <w:spacing w:line="400" w:lineRule="exact"/>
        <w:ind w:firstLine="555"/>
        <w:jc w:val="left"/>
        <w:textAlignment w:val="auto"/>
        <w:rPr>
          <w:rFonts w:hint="eastAsia" w:ascii="宋体" w:hAnsi="宋体" w:cs="宋体"/>
          <w:bCs/>
          <w:color w:val="000000"/>
          <w:sz w:val="28"/>
          <w:szCs w:val="28"/>
        </w:rPr>
      </w:pPr>
      <w:r>
        <w:rPr>
          <w:rFonts w:hint="eastAsia" w:ascii="宋体" w:hAnsi="宋体" w:cs="宋体"/>
          <w:bCs/>
          <w:color w:val="000000"/>
          <w:sz w:val="28"/>
          <w:szCs w:val="28"/>
        </w:rPr>
        <w:t>成都大学攀岩定向协会</w:t>
      </w:r>
    </w:p>
    <w:p>
      <w:pPr>
        <w:keepNext w:val="0"/>
        <w:keepLines w:val="0"/>
        <w:pageBreakBefore w:val="0"/>
        <w:widowControl/>
        <w:kinsoku/>
        <w:wordWrap/>
        <w:overflowPunct/>
        <w:topLinePunct w:val="0"/>
        <w:autoSpaceDE/>
        <w:autoSpaceDN/>
        <w:bidi w:val="0"/>
        <w:adjustRightInd/>
        <w:snapToGrid/>
        <w:spacing w:line="400" w:lineRule="exact"/>
        <w:ind w:firstLine="555"/>
        <w:jc w:val="left"/>
        <w:textAlignment w:val="auto"/>
        <w:rPr>
          <w:rFonts w:ascii="宋体" w:hAnsi="宋体" w:cs="宋体"/>
          <w:bCs/>
          <w:color w:val="000000"/>
          <w:sz w:val="28"/>
          <w:szCs w:val="28"/>
        </w:rPr>
      </w:pPr>
      <w:r>
        <w:rPr>
          <w:rFonts w:hint="eastAsia" w:ascii="宋体" w:hAnsi="宋体" w:cs="宋体"/>
          <w:bCs/>
          <w:color w:val="000000"/>
          <w:sz w:val="28"/>
          <w:szCs w:val="28"/>
        </w:rPr>
        <w:t>成都大学户外运动队</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四、竞赛日期与地点</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1.时间：2019年10月15日14:00（星期二）</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2.地点：成都大学攀岩墙</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五、竞赛项目与竞赛组别</w:t>
      </w:r>
    </w:p>
    <w:p>
      <w:pPr>
        <w:keepNext w:val="0"/>
        <w:keepLines w:val="0"/>
        <w:pageBreakBefore w:val="0"/>
        <w:tabs>
          <w:tab w:val="left" w:pos="4740"/>
        </w:tabs>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1.竞赛项目：难度赛</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2.竞赛组别：专业组（体育专业学生）、公开组（非体育专业学生）</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六、参赛资格</w:t>
      </w:r>
    </w:p>
    <w:p>
      <w:pPr>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宋体" w:hAnsi="宋体" w:cs="宋体"/>
          <w:sz w:val="28"/>
          <w:szCs w:val="28"/>
        </w:rPr>
      </w:pPr>
      <w:r>
        <w:rPr>
          <w:rFonts w:hint="eastAsia" w:ascii="宋体" w:hAnsi="宋体" w:cs="宋体"/>
          <w:sz w:val="28"/>
          <w:szCs w:val="28"/>
        </w:rPr>
        <w:t>1.凡是我校获得正式学籍，并已购买保险(学生平安人身意外伤害保险)的普通高等学校全日制本、专科学生及研究生，均可报名参赛。</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2.一经发现报名运动员中存在无参赛资格的运动员将无条件取消该运动员成绩，并通报所在学院。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ascii="宋体" w:hAnsi="宋体" w:cs="宋体"/>
          <w:sz w:val="28"/>
          <w:szCs w:val="28"/>
        </w:rPr>
      </w:pPr>
      <w:r>
        <w:rPr>
          <w:rFonts w:hint="eastAsia" w:ascii="宋体" w:hAnsi="宋体" w:cs="宋体"/>
          <w:sz w:val="28"/>
          <w:szCs w:val="28"/>
        </w:rPr>
        <w:t xml:space="preserve">3.运动员必须具备参加攀岩比赛活动的能力(包括身体、技术和对天气等的适应能力)，参赛学院和个人对自己的安全负全部责任。凡患有心脑血管及其它不适合运动的疾病患者均不宜报名参赛。   </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七、报名办法</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hAnsi="宋体" w:cs="宋体"/>
          <w:kern w:val="0"/>
          <w:sz w:val="24"/>
        </w:rPr>
      </w:pPr>
      <w:r>
        <w:rPr>
          <w:rFonts w:hint="eastAsia" w:ascii="宋体" w:hAnsi="宋体" w:cs="宋体"/>
          <w:sz w:val="28"/>
          <w:szCs w:val="28"/>
        </w:rPr>
        <w:t>1.线上报名，扫描主办方公示二维码填写报名信息或点击网页链接线上填写</w:t>
      </w:r>
      <w:r>
        <w:rPr>
          <w:rFonts w:ascii="宋体" w:hAnsi="宋体" w:cs="宋体"/>
          <w:kern w:val="0"/>
          <w:sz w:val="24"/>
        </w:rPr>
        <w:t>https://xsswzx.cdu.edu.cn:81/bm/#/form/101</w:t>
      </w:r>
    </w:p>
    <w:p>
      <w:pPr>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宋体" w:hAnsi="宋体" w:cs="宋体"/>
          <w:sz w:val="28"/>
          <w:szCs w:val="28"/>
        </w:rPr>
      </w:pPr>
      <w:r>
        <w:rPr>
          <w:rFonts w:hint="eastAsia" w:ascii="宋体" w:hAnsi="宋体" w:cs="宋体"/>
          <w:sz w:val="28"/>
          <w:szCs w:val="28"/>
        </w:rPr>
        <w:t>2.报名后一律不得更改、调整和补充报名信息。</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八、竞赛规则</w:t>
      </w:r>
    </w:p>
    <w:p>
      <w:pPr>
        <w:keepNext w:val="0"/>
        <w:keepLines w:val="0"/>
        <w:pageBreakBefore w:val="0"/>
        <w:tabs>
          <w:tab w:val="left" w:pos="4740"/>
        </w:tabs>
        <w:kinsoku/>
        <w:wordWrap/>
        <w:overflowPunct/>
        <w:topLinePunct w:val="0"/>
        <w:autoSpaceDE/>
        <w:autoSpaceDN/>
        <w:bidi w:val="0"/>
        <w:adjustRightInd/>
        <w:snapToGrid/>
        <w:spacing w:line="400" w:lineRule="exact"/>
        <w:ind w:firstLine="420" w:firstLineChars="150"/>
        <w:textAlignment w:val="auto"/>
        <w:rPr>
          <w:rFonts w:ascii="宋体" w:hAnsi="宋体"/>
          <w:sz w:val="28"/>
          <w:szCs w:val="28"/>
        </w:rPr>
      </w:pPr>
      <w:r>
        <w:rPr>
          <w:sz w:val="28"/>
          <w:szCs w:val="28"/>
        </w:rPr>
        <w:t xml:space="preserve"> </w:t>
      </w:r>
      <w:r>
        <w:rPr>
          <w:rFonts w:hint="eastAsia"/>
          <w:sz w:val="28"/>
          <w:szCs w:val="28"/>
        </w:rPr>
        <w:t>以国际攀岩比赛最新规则为基础，按照实际情况进行修改制定。体育学院对规则享有最终解释权。</w:t>
      </w:r>
      <w:r>
        <w:rPr>
          <w:sz w:val="28"/>
          <w:szCs w:val="28"/>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九、竞赛方法</w:t>
      </w:r>
    </w:p>
    <w:p>
      <w:pPr>
        <w:keepNext w:val="0"/>
        <w:keepLines w:val="0"/>
        <w:pageBreakBefore w:val="0"/>
        <w:tabs>
          <w:tab w:val="left" w:pos="4740"/>
        </w:tabs>
        <w:kinsoku/>
        <w:wordWrap/>
        <w:overflowPunct/>
        <w:topLinePunct w:val="0"/>
        <w:autoSpaceDE/>
        <w:autoSpaceDN/>
        <w:bidi w:val="0"/>
        <w:adjustRightInd/>
        <w:snapToGrid/>
        <w:spacing w:line="400" w:lineRule="exact"/>
        <w:ind w:firstLine="560" w:firstLineChars="200"/>
        <w:textAlignment w:val="auto"/>
        <w:rPr>
          <w:rFonts w:ascii="宋体" w:hAnsi="宋体"/>
          <w:sz w:val="28"/>
          <w:szCs w:val="28"/>
        </w:rPr>
      </w:pPr>
      <w:r>
        <w:rPr>
          <w:rFonts w:hint="eastAsia" w:ascii="宋体" w:hAnsi="宋体"/>
          <w:sz w:val="28"/>
          <w:szCs w:val="28"/>
        </w:rPr>
        <w:t>1.各组难度赛均采取顶绳攀登方式。</w:t>
      </w:r>
    </w:p>
    <w:p>
      <w:pPr>
        <w:keepNext w:val="0"/>
        <w:keepLines w:val="0"/>
        <w:pageBreakBefore w:val="0"/>
        <w:tabs>
          <w:tab w:val="left" w:pos="4740"/>
        </w:tabs>
        <w:kinsoku/>
        <w:wordWrap/>
        <w:overflowPunct/>
        <w:topLinePunct w:val="0"/>
        <w:autoSpaceDE/>
        <w:autoSpaceDN/>
        <w:bidi w:val="0"/>
        <w:adjustRightInd/>
        <w:snapToGrid/>
        <w:spacing w:line="400" w:lineRule="exact"/>
        <w:ind w:firstLine="560" w:firstLineChars="200"/>
        <w:textAlignment w:val="auto"/>
        <w:rPr>
          <w:rFonts w:ascii="宋体" w:hAnsi="宋体"/>
          <w:sz w:val="28"/>
          <w:szCs w:val="28"/>
        </w:rPr>
      </w:pPr>
      <w:r>
        <w:rPr>
          <w:rFonts w:hint="eastAsia" w:ascii="宋体" w:hAnsi="宋体"/>
          <w:sz w:val="28"/>
          <w:szCs w:val="28"/>
        </w:rPr>
        <w:t>2.直接进行决赛，不设预赛，按照攀爬高度和时间进行排名。</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十、竞赛办法</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color w:val="FF0000"/>
          <w:sz w:val="28"/>
          <w:szCs w:val="28"/>
        </w:rPr>
        <w:t xml:space="preserve">    </w:t>
      </w:r>
      <w:r>
        <w:rPr>
          <w:rFonts w:hint="eastAsia" w:ascii="宋体" w:hAnsi="宋体" w:cs="宋体"/>
          <w:sz w:val="28"/>
          <w:szCs w:val="28"/>
        </w:rPr>
        <w:t>1.参照《2019国际攀岩比赛规则（2019年1月第1.1版）》执行。</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2.运动员出发顺序由组委会按随机编排原则决定。</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3.运动员所报项目不得无故弃权（除经大会指定医院检查，确实因伤病不能参加比赛，并经大会同意者外）；凡无故弃权者，将依据《全国学生体育竞赛纪律处罚规定》的有关规定给予处罚。 </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8"/>
          <w:szCs w:val="28"/>
        </w:rPr>
      </w:pPr>
      <w:r>
        <w:rPr>
          <w:rFonts w:hint="eastAsia" w:ascii="宋体" w:hAnsi="宋体" w:cs="宋体"/>
          <w:sz w:val="28"/>
          <w:szCs w:val="28"/>
        </w:rPr>
        <w:t xml:space="preserve">    4.检录时需交验运动员学生证或身份证，运动员不能提交证件者取消参赛资格。 </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十一、名次录取与计分办法</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（一）单项录取办法：</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1.男子、女子各单项分别录取前8名，前3名颁发奖品和证书,4-6名获二等奖颁发证书，7-8名获三等奖颁发证书。 </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2.不足16人参赛的项目，按实际参赛人数减1录取；</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3.单项比赛成绩相同者，名次并列，无下一名次。</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（二）组织评选优秀运动员、裁判员、志愿者。</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十二、比赛的场地、岩壁和技术装备</w:t>
      </w:r>
    </w:p>
    <w:p>
      <w:pPr>
        <w:keepNext w:val="0"/>
        <w:keepLines w:val="0"/>
        <w:pageBreakBefore w:val="0"/>
        <w:tabs>
          <w:tab w:val="left" w:pos="4740"/>
        </w:tabs>
        <w:kinsoku/>
        <w:wordWrap/>
        <w:overflowPunct/>
        <w:topLinePunct w:val="0"/>
        <w:autoSpaceDE/>
        <w:autoSpaceDN/>
        <w:bidi w:val="0"/>
        <w:adjustRightInd/>
        <w:snapToGrid/>
        <w:spacing w:line="400" w:lineRule="exact"/>
        <w:ind w:firstLine="560" w:firstLineChars="200"/>
        <w:textAlignment w:val="auto"/>
        <w:rPr>
          <w:b/>
          <w:sz w:val="28"/>
          <w:szCs w:val="28"/>
        </w:rPr>
      </w:pPr>
      <w:r>
        <w:rPr>
          <w:rFonts w:hint="eastAsia" w:ascii="宋体" w:hAnsi="宋体"/>
          <w:sz w:val="28"/>
          <w:szCs w:val="28"/>
        </w:rPr>
        <w:t xml:space="preserve">比赛的场地及攀岩技术装备由主办单位提供。运动服、攀岩鞋等个人装备运动员自备。 </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十三、赛事监督、定线员与裁判员</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赛事监督、定线员与裁判员由体育学院委派。</w:t>
      </w:r>
    </w:p>
    <w:p>
      <w:pPr>
        <w:keepNext w:val="0"/>
        <w:keepLines w:val="0"/>
        <w:pageBreakBefore w:val="0"/>
        <w:tabs>
          <w:tab w:val="left" w:pos="7050"/>
        </w:tabs>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b/>
          <w:sz w:val="32"/>
          <w:szCs w:val="32"/>
        </w:rPr>
        <w:t>十四、相关要求及注意事项</w:t>
      </w:r>
      <w:r>
        <w:rPr>
          <w:rFonts w:hint="eastAsia" w:ascii="宋体" w:hAnsi="宋体" w:cs="宋体"/>
          <w:b/>
          <w:sz w:val="28"/>
          <w:szCs w:val="28"/>
        </w:rPr>
        <w:tab/>
      </w:r>
      <w:r>
        <w:rPr>
          <w:rFonts w:hint="eastAsia" w:ascii="宋体" w:hAnsi="宋体" w:cs="宋体"/>
          <w:sz w:val="28"/>
          <w:szCs w:val="28"/>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ascii="宋体" w:hAnsi="宋体" w:cs="宋体"/>
          <w:sz w:val="28"/>
          <w:szCs w:val="28"/>
        </w:rPr>
      </w:pPr>
      <w:r>
        <w:rPr>
          <w:rFonts w:hint="eastAsia" w:ascii="宋体" w:hAnsi="宋体" w:cs="宋体"/>
          <w:sz w:val="28"/>
          <w:szCs w:val="28"/>
        </w:rPr>
        <w:t>1.各参赛运动员必须在比赛前20分钟到检录处检录，并将学生证、身份证交到检录处，验证身份后方可以参加比赛。（如有特殊情况，须在赛前2小时向组委会上交有学院领导签字的证明。）</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2.各参赛运动员在比赛过程中无故拖延时间超过10分钟,按弃权处理。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3.队员在比赛过程中须服从裁判员裁决。如有异议可在赛后向仲裁委员会提出书面申诉，由仲裁委员会作出最终裁决。</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4.凡出现严重辱骂、威胁裁判员、工作人员及对方队员的行为，裁判有权立即对其行为作出处理，并取消该队员的参赛资格。如出现打架事件等性质恶劣的情况，则取消该队参赛资格，并通报个学院。</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5.上场队员必须按要求穿戴好攀岩装备并由工作人员确认穿戴合理，不得佩带任何饰品或金属护具，不得穿高跟鞋进行比赛，违者不得参赛。</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6.如有突发事件导致比赛中断，裁判长有权做出补赛裁决。</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7.</w:t>
      </w:r>
      <w:r>
        <w:rPr>
          <w:rFonts w:hint="eastAsia" w:ascii="宋体" w:hAnsi="宋体"/>
          <w:sz w:val="28"/>
          <w:szCs w:val="28"/>
        </w:rPr>
        <w:t>遇到不可抗拒的恶劣天气，比赛事宜另行</w:t>
      </w:r>
      <w:r>
        <w:rPr>
          <w:rFonts w:hint="eastAsia" w:ascii="宋体" w:hAnsi="宋体" w:cs="宋体"/>
          <w:sz w:val="28"/>
          <w:szCs w:val="28"/>
        </w:rPr>
        <w:t>安排通知。</w:t>
      </w:r>
    </w:p>
    <w:p>
      <w:pPr>
        <w:keepNext w:val="0"/>
        <w:keepLines w:val="0"/>
        <w:pageBreakBefore w:val="0"/>
        <w:kinsoku/>
        <w:wordWrap/>
        <w:overflowPunct/>
        <w:topLinePunct w:val="0"/>
        <w:autoSpaceDE/>
        <w:autoSpaceDN/>
        <w:bidi w:val="0"/>
        <w:adjustRightInd/>
        <w:snapToGrid/>
        <w:spacing w:line="400" w:lineRule="exact"/>
        <w:ind w:firstLine="555"/>
        <w:jc w:val="left"/>
        <w:textAlignment w:val="auto"/>
        <w:rPr>
          <w:rFonts w:ascii="宋体" w:hAnsi="宋体" w:cs="宋体"/>
          <w:sz w:val="28"/>
          <w:szCs w:val="28"/>
        </w:rPr>
      </w:pPr>
      <w:r>
        <w:rPr>
          <w:rFonts w:hint="eastAsia" w:ascii="宋体" w:hAnsi="宋体" w:cs="宋体"/>
          <w:sz w:val="28"/>
          <w:szCs w:val="28"/>
        </w:rPr>
        <w:t>8.当天比赛是否进行，以组委会的通知为准。</w:t>
      </w:r>
    </w:p>
    <w:p>
      <w:pPr>
        <w:keepNext w:val="0"/>
        <w:keepLines w:val="0"/>
        <w:pageBreakBefore w:val="0"/>
        <w:tabs>
          <w:tab w:val="left" w:pos="7050"/>
        </w:tabs>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十五、本规程未尽事宜另行通知。</w:t>
      </w:r>
    </w:p>
    <w:p>
      <w:pPr>
        <w:keepNext w:val="0"/>
        <w:keepLines w:val="0"/>
        <w:pageBreakBefore w:val="0"/>
        <w:tabs>
          <w:tab w:val="left" w:pos="7050"/>
        </w:tabs>
        <w:kinsoku/>
        <w:wordWrap/>
        <w:overflowPunct/>
        <w:topLinePunct w:val="0"/>
        <w:autoSpaceDE/>
        <w:autoSpaceDN/>
        <w:bidi w:val="0"/>
        <w:adjustRightInd/>
        <w:snapToGrid/>
        <w:spacing w:line="400" w:lineRule="exact"/>
        <w:jc w:val="left"/>
        <w:textAlignment w:val="auto"/>
        <w:rPr>
          <w:rFonts w:ascii="宋体" w:hAnsi="宋体" w:cs="宋体"/>
          <w:b/>
          <w:sz w:val="32"/>
          <w:szCs w:val="32"/>
        </w:rPr>
      </w:pPr>
      <w:r>
        <w:rPr>
          <w:rFonts w:hint="eastAsia" w:ascii="宋体" w:hAnsi="宋体" w:cs="宋体"/>
          <w:b/>
          <w:sz w:val="32"/>
          <w:szCs w:val="32"/>
        </w:rPr>
        <w:t>十六、本规程最终解释权属成都大学体育运动委员会。</w:t>
      </w:r>
    </w:p>
    <w:p>
      <w:pPr>
        <w:keepNext w:val="0"/>
        <w:keepLines w:val="0"/>
        <w:pageBreakBefore w:val="0"/>
        <w:kinsoku/>
        <w:wordWrap/>
        <w:overflowPunct/>
        <w:topLinePunct w:val="0"/>
        <w:autoSpaceDE/>
        <w:autoSpaceDN/>
        <w:bidi w:val="0"/>
        <w:adjustRightInd/>
        <w:snapToGrid/>
        <w:spacing w:line="400" w:lineRule="exact"/>
        <w:jc w:val="center"/>
        <w:textAlignment w:val="auto"/>
        <w:rPr>
          <w:b/>
          <w:sz w:val="52"/>
          <w:szCs w:val="52"/>
        </w:rPr>
      </w:pPr>
    </w:p>
    <w:p>
      <w:pPr>
        <w:keepNext w:val="0"/>
        <w:keepLines w:val="0"/>
        <w:pageBreakBefore w:val="0"/>
        <w:kinsoku/>
        <w:wordWrap/>
        <w:overflowPunct/>
        <w:topLinePunct w:val="0"/>
        <w:autoSpaceDE/>
        <w:autoSpaceDN/>
        <w:bidi w:val="0"/>
        <w:adjustRightInd/>
        <w:snapToGrid/>
        <w:spacing w:line="400" w:lineRule="exact"/>
        <w:jc w:val="center"/>
        <w:textAlignment w:val="auto"/>
        <w:rPr>
          <w:b/>
          <w:sz w:val="52"/>
          <w:szCs w:val="52"/>
        </w:rPr>
      </w:pPr>
    </w:p>
    <w:p>
      <w:pPr>
        <w:keepNext w:val="0"/>
        <w:keepLines w:val="0"/>
        <w:pageBreakBefore w:val="0"/>
        <w:kinsoku/>
        <w:wordWrap/>
        <w:overflowPunct/>
        <w:topLinePunct w:val="0"/>
        <w:autoSpaceDE/>
        <w:autoSpaceDN/>
        <w:bidi w:val="0"/>
        <w:adjustRightInd/>
        <w:snapToGrid/>
        <w:spacing w:line="400" w:lineRule="exact"/>
        <w:jc w:val="center"/>
        <w:textAlignment w:val="auto"/>
        <w:rPr>
          <w:b/>
          <w:sz w:val="52"/>
          <w:szCs w:val="5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sz w:val="52"/>
          <w:szCs w:val="5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sz w:val="52"/>
          <w:szCs w:val="52"/>
        </w:rPr>
      </w:pPr>
    </w:p>
    <w:p>
      <w:pPr>
        <w:keepNext w:val="0"/>
        <w:keepLines w:val="0"/>
        <w:pageBreakBefore w:val="0"/>
        <w:kinsoku/>
        <w:wordWrap/>
        <w:overflowPunct/>
        <w:topLinePunct w:val="0"/>
        <w:autoSpaceDE/>
        <w:autoSpaceDN/>
        <w:bidi w:val="0"/>
        <w:adjustRightInd/>
        <w:snapToGrid/>
        <w:spacing w:line="400" w:lineRule="exact"/>
        <w:jc w:val="center"/>
        <w:textAlignment w:val="auto"/>
        <w:rPr>
          <w:b/>
          <w:sz w:val="52"/>
          <w:szCs w:val="52"/>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b/>
          <w:sz w:val="30"/>
          <w:szCs w:val="30"/>
        </w:rPr>
      </w:pPr>
      <w:r>
        <w:rPr>
          <w:rFonts w:hint="eastAsia"/>
          <w:b/>
          <w:sz w:val="30"/>
          <w:szCs w:val="30"/>
        </w:rPr>
        <w:t>附件</w:t>
      </w:r>
      <w:r>
        <w:rPr>
          <w:b/>
          <w:sz w:val="30"/>
          <w:szCs w:val="30"/>
        </w:rPr>
        <w:t>1</w:t>
      </w:r>
    </w:p>
    <w:p>
      <w:pPr>
        <w:keepNext w:val="0"/>
        <w:keepLines w:val="0"/>
        <w:pageBreakBefore w:val="0"/>
        <w:kinsoku/>
        <w:wordWrap/>
        <w:overflowPunct/>
        <w:topLinePunct w:val="0"/>
        <w:autoSpaceDE/>
        <w:autoSpaceDN/>
        <w:bidi w:val="0"/>
        <w:adjustRightInd/>
        <w:snapToGrid/>
        <w:spacing w:line="400" w:lineRule="exact"/>
        <w:jc w:val="center"/>
        <w:textAlignment w:val="auto"/>
        <w:rPr>
          <w:b/>
          <w:sz w:val="36"/>
          <w:szCs w:val="36"/>
        </w:rPr>
      </w:pPr>
      <w:bookmarkStart w:id="0" w:name="_GoBack"/>
      <w:r>
        <w:rPr>
          <w:rFonts w:hint="eastAsia"/>
          <w:b/>
          <w:sz w:val="36"/>
          <w:szCs w:val="36"/>
        </w:rPr>
        <w:t>成都大学攀岩比赛规则</w:t>
      </w:r>
    </w:p>
    <w:bookmarkEnd w:id="0"/>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1.攀登岩壁</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1.1比赛中攀登方式均采用顶绳攀登的方式。</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1.2岩壁的所有面板均能做为攀登使用。</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1.3攀登时不能使用板的上缘和侧缘，不得攀登到相邻的线路上。</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1.4攀登时不能触碰岩壁上的金属挂片。</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1.5攀登时必须在规定的起攀线处开始攀登。</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2.比赛种类</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难度赛：选手均采取顶绳攀登的方式，选手以达到之高度来决定其该场之名次。登顶双手合抱目标岩点3秒完成登顶，高度相同用时少者优胜。</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3.检录与隔离</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所有参加比赛的选手必须在规定的时间内报到并进入隔离区。所有选手有责任充分认知各场比赛的规定细节。</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4.路线的观察与练习</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4.1大会决定隔离区的开放时间，选手观察线路的时间为10分钟。</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4.2选手不得触碰岩点和岩壁，且不能以任何方式在隔离区开放前观察线路。</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4.3观察线路完成后，选手进入隔离区不能和场外的人员接触和联系获取攀登信息。</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 xml:space="preserve">    4.4选手在隔离区自行进行热身准备攀登。</w:t>
      </w:r>
    </w:p>
    <w:p>
      <w:pPr>
        <w:keepNext w:val="0"/>
        <w:keepLines w:val="0"/>
        <w:pageBreakBefore w:val="0"/>
        <w:tabs>
          <w:tab w:val="left" w:pos="4740"/>
        </w:tabs>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5.竞赛方法</w:t>
      </w:r>
    </w:p>
    <w:p>
      <w:pPr>
        <w:keepNext w:val="0"/>
        <w:keepLines w:val="0"/>
        <w:pageBreakBefore w:val="0"/>
        <w:tabs>
          <w:tab w:val="left" w:pos="4740"/>
        </w:tabs>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5.1各组难度赛均采取顶绳攀登方式。</w:t>
      </w:r>
    </w:p>
    <w:p>
      <w:pPr>
        <w:keepNext w:val="0"/>
        <w:keepLines w:val="0"/>
        <w:pageBreakBefore w:val="0"/>
        <w:tabs>
          <w:tab w:val="left" w:pos="4740"/>
        </w:tabs>
        <w:kinsoku/>
        <w:wordWrap/>
        <w:overflowPunct/>
        <w:topLinePunct w:val="0"/>
        <w:autoSpaceDE/>
        <w:autoSpaceDN/>
        <w:bidi w:val="0"/>
        <w:adjustRightInd/>
        <w:snapToGrid/>
        <w:spacing w:line="400" w:lineRule="exact"/>
        <w:ind w:firstLine="560" w:firstLineChars="200"/>
        <w:textAlignment w:val="auto"/>
        <w:rPr>
          <w:rFonts w:ascii="宋体" w:hAnsi="宋体"/>
          <w:sz w:val="28"/>
          <w:szCs w:val="28"/>
        </w:rPr>
      </w:pPr>
      <w:r>
        <w:rPr>
          <w:rFonts w:hint="eastAsia" w:ascii="宋体" w:hAnsi="宋体" w:cs="宋体"/>
          <w:sz w:val="28"/>
          <w:szCs w:val="28"/>
        </w:rPr>
        <w:t>5.2 难度赛: 直接进行决赛，不设预赛，按照攀爬高度和时间进行排名。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5.3难度赛成绩计算方式：难度赛决赛关门时间为5分钟。均以选手攀登的最高处计算成绩，选手若在关门时间结束后还在攀登的仍以关门时间结束前攀登的最高高度计算成绩。</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所有选手必须服从组委会安排，把安全放在首位，做到友谊第一，比赛第二。组委会有权对不服从安排的运动员做出相应的处罚。组委会对本次比赛有最终解释权。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788A"/>
    <w:rsid w:val="002735DE"/>
    <w:rsid w:val="006307D7"/>
    <w:rsid w:val="0078788A"/>
    <w:rsid w:val="00B52BF2"/>
    <w:rsid w:val="00C11045"/>
    <w:rsid w:val="0D54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339</Words>
  <Characters>1937</Characters>
  <Lines>16</Lines>
  <Paragraphs>4</Paragraphs>
  <TotalTime>19</TotalTime>
  <ScaleCrop>false</ScaleCrop>
  <LinksUpToDate>false</LinksUpToDate>
  <CharactersWithSpaces>2272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2019-09-17T15:40:00Z</dcterms:created>
  <dc:creator>dreamsummit</dc:creator>
  <cp:lastModifiedBy>兔先生1400030750</cp:lastModifiedBy>
  <dcterms:modified xsi:type="dcterms:W3CDTF">2019-09-19T09:58:37Z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