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2" w:type="dxa"/>
        <w:tblInd w:w="93" w:type="dxa"/>
        <w:tblLook w:val="04A0"/>
      </w:tblPr>
      <w:tblGrid>
        <w:gridCol w:w="1149"/>
        <w:gridCol w:w="7513"/>
      </w:tblGrid>
      <w:tr w:rsidR="001D7A69" w:rsidRPr="00F812F3" w:rsidTr="005538CC">
        <w:trPr>
          <w:trHeight w:val="900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7A69" w:rsidRPr="00C27425" w:rsidRDefault="001D7A69" w:rsidP="005538CC">
            <w:pPr>
              <w:spacing w:line="600" w:lineRule="exact"/>
              <w:jc w:val="left"/>
              <w:rPr>
                <w:rFonts w:ascii="黑体" w:eastAsia="黑体" w:hAnsi="黑体" w:cs="方正小标宋简体" w:hint="eastAsia"/>
                <w:sz w:val="28"/>
                <w:szCs w:val="28"/>
              </w:rPr>
            </w:pPr>
            <w:r w:rsidRPr="00C27425">
              <w:rPr>
                <w:rFonts w:ascii="黑体" w:eastAsia="黑体" w:hAnsi="黑体" w:cs="方正小标宋简体" w:hint="eastAsia"/>
                <w:sz w:val="28"/>
                <w:szCs w:val="28"/>
              </w:rPr>
              <w:t>附件一</w:t>
            </w:r>
          </w:p>
          <w:p w:rsidR="001D7A69" w:rsidRDefault="001D7A69" w:rsidP="005538CC">
            <w:pPr>
              <w:spacing w:line="600" w:lineRule="exact"/>
              <w:jc w:val="center"/>
              <w:rPr>
                <w:rFonts w:ascii="方正小标宋简体" w:eastAsia="方正小标宋简体" w:hAnsi="方正仿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 xml:space="preserve">  </w:t>
            </w:r>
            <w:r w:rsidRPr="00F812F3">
              <w:rPr>
                <w:rFonts w:ascii="方正小标宋简体" w:eastAsia="方正小标宋简体" w:hAnsi="方正仿宋简体" w:hint="eastAsia"/>
                <w:sz w:val="32"/>
                <w:szCs w:val="32"/>
              </w:rPr>
              <w:t>成都大学</w:t>
            </w:r>
            <w:r w:rsidRPr="00F812F3">
              <w:rPr>
                <w:rFonts w:ascii="方正小标宋简体" w:eastAsia="方正小标宋简体" w:hAnsi="Times New Roman" w:hint="eastAsia"/>
                <w:sz w:val="32"/>
                <w:szCs w:val="32"/>
              </w:rPr>
              <w:t>2017</w:t>
            </w:r>
            <w:r w:rsidRPr="00F812F3">
              <w:rPr>
                <w:rFonts w:ascii="方正小标宋简体" w:eastAsia="方正小标宋简体" w:hAnsi="方正仿宋简体" w:hint="eastAsia"/>
                <w:sz w:val="32"/>
                <w:szCs w:val="32"/>
              </w:rPr>
              <w:t>年高等教育研究项目选题指南</w:t>
            </w:r>
          </w:p>
          <w:p w:rsidR="001D7A69" w:rsidRPr="00F812F3" w:rsidRDefault="001D7A69" w:rsidP="005538CC">
            <w:pPr>
              <w:spacing w:line="600" w:lineRule="exact"/>
              <w:jc w:val="center"/>
              <w:rPr>
                <w:rFonts w:ascii="方正小标宋简体" w:eastAsia="方正小标宋简体" w:hAnsi="方正仿宋简体" w:hint="eastAsia"/>
                <w:b/>
                <w:sz w:val="32"/>
                <w:szCs w:val="32"/>
              </w:rPr>
            </w:pP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应用型大学的内涵与发展研究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对标 XXX 大学，我校的发展思路及对策研究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国外应用型大学发展路径对成都大学的借鉴 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 XXX  促“十三五规划”的实施 ——以成都大学为例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城市型大学与城市发展的互动关系研究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英国城市型大学——利物浦大学与城市互动发展研究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张澜教育思想对应用</w:t>
            </w:r>
            <w:proofErr w:type="gramStart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型大学</w:t>
            </w:r>
            <w:proofErr w:type="gramEnd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建设的启示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创业</w:t>
            </w:r>
            <w:proofErr w:type="gramStart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型大学</w:t>
            </w:r>
            <w:proofErr w:type="gramEnd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思潮下成都大学发展路径研究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成都大学学科专业结构与成都市产业结构关系研究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高水平建设成都大学背景下学校纪委的责任研究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国家级数</w:t>
            </w:r>
            <w:proofErr w:type="gramStart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据指标</w:t>
            </w:r>
            <w:proofErr w:type="gramEnd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内涵及其对成都大学发展的启示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大学排行</w:t>
            </w:r>
            <w:proofErr w:type="gramStart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榜指标</w:t>
            </w:r>
            <w:proofErr w:type="gramEnd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体系对成都大学内涵建设的启示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成都大学二级学院竞争力评价研究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成都大学信息共享机制研究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成都大学国有资产绩效管理研究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成都大学引进人才绩效分析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团队建设机制研究——以成都大学 XXX 团队为例</w:t>
            </w:r>
          </w:p>
        </w:tc>
      </w:tr>
      <w:tr w:rsidR="001D7A69" w:rsidRPr="00F812F3" w:rsidTr="005538CC">
        <w:trPr>
          <w:trHeight w:val="4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成都大学奖励机制与实效研究</w:t>
            </w:r>
          </w:p>
        </w:tc>
      </w:tr>
      <w:tr w:rsidR="001D7A69" w:rsidRPr="00F812F3" w:rsidTr="005538CC">
        <w:trPr>
          <w:trHeight w:val="5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“一带一路”建设背景</w:t>
            </w:r>
            <w:proofErr w:type="gramStart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下地方</w:t>
            </w:r>
            <w:proofErr w:type="gramEnd"/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大学国际化发展战略研究——以成都大学为例</w:t>
            </w:r>
          </w:p>
        </w:tc>
      </w:tr>
      <w:tr w:rsidR="001D7A69" w:rsidRPr="00F812F3" w:rsidTr="005538CC">
        <w:trPr>
          <w:trHeight w:val="5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69" w:rsidRPr="00F812F3" w:rsidRDefault="001D7A69" w:rsidP="0055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69" w:rsidRPr="00F812F3" w:rsidRDefault="001D7A69" w:rsidP="0055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成都大学贵重科研仪器对外开放管理研究（</w:t>
            </w:r>
            <w:r w:rsidRPr="00F812F3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  <w:szCs w:val="22"/>
              </w:rPr>
              <w:t>持续支持项目</w:t>
            </w:r>
            <w:r w:rsidRPr="00F812F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1D7A69" w:rsidRDefault="001D7A69" w:rsidP="001D7A69">
      <w:pPr>
        <w:ind w:firstLine="640"/>
        <w:rPr>
          <w:rFonts w:ascii="Times New Roman" w:eastAsia="方正仿宋简体" w:hAnsi="Times New Roman" w:hint="eastAsia"/>
          <w:sz w:val="32"/>
          <w:szCs w:val="32"/>
        </w:rPr>
      </w:pPr>
    </w:p>
    <w:p w:rsidR="001D7A69" w:rsidRDefault="001D7A69" w:rsidP="001D7A69">
      <w:pPr>
        <w:ind w:firstLine="640"/>
        <w:rPr>
          <w:rFonts w:ascii="Times New Roman" w:eastAsia="方正仿宋简体" w:hAnsi="Times New Roman" w:hint="eastAsia"/>
          <w:sz w:val="32"/>
          <w:szCs w:val="32"/>
        </w:rPr>
      </w:pPr>
    </w:p>
    <w:p w:rsidR="00915551" w:rsidRPr="001D7A69" w:rsidRDefault="00915551"/>
    <w:sectPr w:rsidR="00915551" w:rsidRPr="001D7A69" w:rsidSect="0091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A69"/>
    <w:rsid w:val="001D7A69"/>
    <w:rsid w:val="0091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2017-03-03T03:17:00Z</dcterms:created>
  <dcterms:modified xsi:type="dcterms:W3CDTF">2017-03-03T03:17:00Z</dcterms:modified>
</cp:coreProperties>
</file>