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left"/>
        <w:rPr>
          <w:rFonts w:hint="eastAsia" w:ascii="黑体" w:hAnsi="黑体" w:eastAsia="黑体" w:cs="Times New Roman"/>
          <w:kern w:val="2"/>
          <w:sz w:val="36"/>
          <w:szCs w:val="36"/>
        </w:rPr>
      </w:pPr>
      <w:r>
        <w:rPr>
          <w:rFonts w:hint="eastAsia" w:ascii="黑体" w:hAnsi="黑体" w:eastAsia="黑体" w:cs="Times New Roman"/>
          <w:kern w:val="2"/>
          <w:sz w:val="36"/>
          <w:szCs w:val="36"/>
        </w:rPr>
        <w:t>附件</w:t>
      </w:r>
      <w:r>
        <w:rPr>
          <w:rFonts w:hint="eastAsia" w:ascii="黑体" w:hAnsi="黑体" w:eastAsia="黑体" w:cs="Times New Roman"/>
          <w:kern w:val="2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Times New Roman"/>
          <w:kern w:val="2"/>
          <w:sz w:val="36"/>
          <w:szCs w:val="36"/>
        </w:rPr>
        <w:t>：</w:t>
      </w:r>
    </w:p>
    <w:p>
      <w:pPr>
        <w:widowControl w:val="0"/>
        <w:adjustRightInd/>
        <w:snapToGrid/>
        <w:spacing w:after="0" w:line="720" w:lineRule="exact"/>
        <w:rPr>
          <w:rFonts w:ascii="黑体" w:hAnsi="黑体" w:eastAsia="黑体" w:cs="黑体"/>
          <w:bCs/>
          <w:kern w:val="2"/>
          <w:szCs w:val="32"/>
        </w:rPr>
      </w:pPr>
    </w:p>
    <w:p>
      <w:pPr>
        <w:widowControl w:val="0"/>
        <w:adjustRightInd/>
        <w:snapToGrid/>
        <w:spacing w:after="0" w:line="360" w:lineRule="auto"/>
        <w:jc w:val="center"/>
        <w:rPr>
          <w:rFonts w:hint="eastAsia" w:ascii="黑体" w:hAnsi="黑体" w:eastAsia="黑体" w:cs="Times New Roman"/>
          <w:kern w:val="2"/>
          <w:sz w:val="36"/>
          <w:szCs w:val="36"/>
        </w:rPr>
      </w:pPr>
      <w:r>
        <w:rPr>
          <w:rFonts w:hint="eastAsia" w:ascii="黑体" w:hAnsi="黑体" w:eastAsia="黑体" w:cs="Times New Roman"/>
          <w:kern w:val="2"/>
          <w:sz w:val="36"/>
          <w:szCs w:val="36"/>
        </w:rPr>
        <w:t>成都大学第三十四届田径运动会千人团体操活动方案</w:t>
      </w:r>
    </w:p>
    <w:p>
      <w:pPr>
        <w:autoSpaceDE w:val="0"/>
        <w:autoSpaceDN w:val="0"/>
        <w:spacing w:after="0" w:line="360" w:lineRule="auto"/>
        <w:rPr>
          <w:rFonts w:cs="AdobeHeitiStd-Regular" w:asciiTheme="minorEastAsia" w:hAnsiTheme="minorEastAsia" w:eastAsiaTheme="minorEastAsia"/>
          <w:sz w:val="28"/>
          <w:szCs w:val="28"/>
        </w:rPr>
      </w:pPr>
    </w:p>
    <w:p>
      <w:pPr>
        <w:widowControl w:val="0"/>
        <w:adjustRightInd/>
        <w:snapToGrid/>
        <w:spacing w:after="0" w:line="360" w:lineRule="auto"/>
        <w:ind w:left="640" w:leftChars="200"/>
        <w:jc w:val="both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一、活动内容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千人团体操分为“</w:t>
      </w:r>
      <w:r>
        <w:rPr>
          <w:rFonts w:hint="eastAsia" w:ascii="仿宋" w:hAnsi="仿宋" w:eastAsia="仿宋" w:cs="仿宋"/>
          <w:b/>
          <w:kern w:val="2"/>
          <w:sz w:val="28"/>
          <w:szCs w:val="28"/>
        </w:rPr>
        <w:t>奋进橙子——健康校园</w:t>
      </w:r>
      <w:r>
        <w:rPr>
          <w:rFonts w:hint="eastAsia" w:ascii="仿宋" w:hAnsi="仿宋" w:eastAsia="仿宋" w:cs="仿宋"/>
          <w:kern w:val="2"/>
          <w:sz w:val="28"/>
          <w:szCs w:val="28"/>
        </w:rPr>
        <w:t>“、”</w:t>
      </w:r>
      <w:r>
        <w:rPr>
          <w:rFonts w:hint="eastAsia" w:ascii="仿宋" w:hAnsi="仿宋" w:eastAsia="仿宋" w:cs="仿宋"/>
          <w:b/>
          <w:kern w:val="2"/>
          <w:sz w:val="28"/>
          <w:szCs w:val="28"/>
        </w:rPr>
        <w:t>庆祝建党100周年</w:t>
      </w:r>
      <w:r>
        <w:rPr>
          <w:rFonts w:hint="eastAsia" w:ascii="仿宋" w:hAnsi="仿宋" w:eastAsia="仿宋" w:cs="仿宋"/>
          <w:kern w:val="2"/>
          <w:sz w:val="28"/>
          <w:szCs w:val="28"/>
        </w:rPr>
        <w:t>”、“</w:t>
      </w:r>
      <w:r>
        <w:rPr>
          <w:rFonts w:hint="eastAsia" w:ascii="仿宋" w:hAnsi="仿宋" w:eastAsia="仿宋" w:cs="仿宋"/>
          <w:b/>
          <w:kern w:val="2"/>
          <w:sz w:val="28"/>
          <w:szCs w:val="28"/>
        </w:rPr>
        <w:t>运动成都——迎大运</w:t>
      </w:r>
      <w:r>
        <w:rPr>
          <w:rFonts w:hint="eastAsia" w:ascii="仿宋" w:hAnsi="仿宋" w:eastAsia="仿宋" w:cs="仿宋"/>
          <w:kern w:val="2"/>
          <w:sz w:val="28"/>
          <w:szCs w:val="28"/>
        </w:rPr>
        <w:t>”三个篇章。</w:t>
      </w:r>
    </w:p>
    <w:p>
      <w:pPr>
        <w:widowControl w:val="0"/>
        <w:adjustRightInd/>
        <w:snapToGrid/>
        <w:spacing w:after="0" w:line="360" w:lineRule="auto"/>
        <w:ind w:left="640" w:leftChars="200"/>
        <w:jc w:val="both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二、活动形式及评分办法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（一）活动形式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采取“展演+比赛”的活动形式。进场位置及场内站位由组委会组织各学院抽签决定。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（二）评选办法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本次活动评选分为训练、合排、表演三个阶段，根据各阶段表现评分，三阶段的分数总和为最后得分，计入开幕式入场式优秀组织奖评选。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评分细则另行发放。</w:t>
      </w:r>
    </w:p>
    <w:p>
      <w:pPr>
        <w:widowControl w:val="0"/>
        <w:adjustRightInd/>
        <w:snapToGrid/>
        <w:spacing w:after="0" w:line="360" w:lineRule="auto"/>
        <w:ind w:left="640" w:leftChars="200"/>
        <w:jc w:val="both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三、参赛要求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（一）各学院原则上须参加千人团体操展演，不能参加的学院须以书面形式向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kern w:val="2"/>
          <w:sz w:val="28"/>
          <w:szCs w:val="28"/>
        </w:rPr>
        <w:t>体委提出申请。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（二）参与人数: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b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每个学院50人（男、女各25人）</w:t>
      </w:r>
      <w:r>
        <w:rPr>
          <w:rFonts w:hint="eastAsia" w:ascii="仿宋" w:hAnsi="仿宋" w:eastAsia="仿宋" w:cs="仿宋"/>
          <w:b/>
          <w:kern w:val="2"/>
          <w:sz w:val="28"/>
          <w:szCs w:val="28"/>
        </w:rPr>
        <w:t>，参与人员不再参加田径运动会的入场式环节。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（三）参与学生必须具有我校正式学籍的在校学生，建议大二学生。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（四）凡身体不适宜者不得隐瞒病情擅自参赛。对违反本规定者，取消参赛代表队该项赛事比赛资格及获奖评选资格。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（五）</w:t>
      </w:r>
      <w:r>
        <w:rPr>
          <w:rFonts w:hint="eastAsia" w:ascii="仿宋" w:hAnsi="仿宋" w:eastAsia="仿宋" w:cs="仿宋"/>
          <w:sz w:val="28"/>
          <w:szCs w:val="28"/>
        </w:rPr>
        <w:t>为了彰显各学院良好的精神风貌，体现整齐划一的队伍风采，各学院应为参加千人团体操展演的人员</w:t>
      </w:r>
      <w:r>
        <w:rPr>
          <w:rFonts w:hint="eastAsia" w:ascii="仿宋" w:hAnsi="仿宋" w:eastAsia="仿宋" w:cs="仿宋"/>
          <w:b/>
          <w:sz w:val="28"/>
          <w:szCs w:val="28"/>
        </w:rPr>
        <w:t>配备组委会统一要求的服装</w:t>
      </w:r>
      <w:r>
        <w:rPr>
          <w:rFonts w:hint="eastAsia" w:ascii="仿宋" w:hAnsi="仿宋" w:eastAsia="仿宋" w:cs="仿宋"/>
          <w:sz w:val="28"/>
          <w:szCs w:val="28"/>
        </w:rPr>
        <w:t>（服装要求另行通知）。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</w:t>
      </w:r>
      <w:r>
        <w:rPr>
          <w:rFonts w:hint="eastAsia" w:ascii="仿宋" w:hAnsi="仿宋" w:eastAsia="仿宋" w:cs="仿宋"/>
          <w:kern w:val="2"/>
          <w:sz w:val="28"/>
          <w:szCs w:val="28"/>
        </w:rPr>
        <w:t>各学院按照工作要求认真组织、积极训练，按时督促学生参加合练。</w:t>
      </w:r>
    </w:p>
    <w:p>
      <w:pPr>
        <w:widowControl w:val="0"/>
        <w:adjustRightInd/>
        <w:snapToGrid/>
        <w:spacing w:after="0" w:line="360" w:lineRule="auto"/>
        <w:ind w:left="640" w:leftChars="200"/>
        <w:jc w:val="both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四、培训形式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（一）面对面培训：以健美操教研组教学团队和健美操代表队组成培训团队组织各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kern w:val="2"/>
          <w:sz w:val="28"/>
          <w:szCs w:val="28"/>
        </w:rPr>
        <w:t>进行集体培训；培训团队下派对接培训员到各学院进行跟踪培训。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（二）视频培训:录制培训视频，以分解动作教学、完整动作教学，进行远程培训。</w:t>
      </w:r>
    </w:p>
    <w:p>
      <w:pPr>
        <w:widowControl w:val="0"/>
        <w:adjustRightInd/>
        <w:snapToGrid/>
        <w:spacing w:after="0" w:line="360" w:lineRule="auto"/>
        <w:ind w:left="640" w:leftChars="200"/>
        <w:jc w:val="both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五、时间安排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（一）9月中下旬进行面对面培训（具体时间由各学院负责教师与体育学院联系人进行对接）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（二）9月底进行1-2次合练（具体时间另行通知）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（三）10月初进行1-2次合练（具体时间另行通知）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（四）10月19日和25日进行2次彩排（具体时间另行通知）</w:t>
      </w:r>
    </w:p>
    <w:p>
      <w:pPr>
        <w:widowControl w:val="0"/>
        <w:adjustRightInd/>
        <w:snapToGrid/>
        <w:spacing w:after="0" w:line="360" w:lineRule="auto"/>
        <w:ind w:left="640" w:leftChars="200"/>
        <w:jc w:val="both"/>
        <w:rPr>
          <w:rFonts w:hint="eastAsia" w:ascii="仿宋" w:hAnsi="仿宋" w:eastAsia="仿宋" w:cs="仿宋"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六、激励机制</w:t>
      </w:r>
    </w:p>
    <w:p>
      <w:pPr>
        <w:widowControl w:val="0"/>
        <w:adjustRightInd/>
        <w:snapToGrid/>
        <w:spacing w:after="0" w:line="360" w:lineRule="auto"/>
        <w:ind w:firstLine="562" w:firstLineChars="200"/>
        <w:jc w:val="both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为激励千人团体操参与人员的积极参与性，本次团体操参与人员将给予乐健跑次数累计，每参加训练1次计乐健跑1次，累计总次数不超过10次。训练次数由培训教练团提交给组委会。</w:t>
      </w:r>
    </w:p>
    <w:p>
      <w:pPr>
        <w:widowControl w:val="0"/>
        <w:adjustRightInd/>
        <w:snapToGrid/>
        <w:spacing w:after="0" w:line="360" w:lineRule="auto"/>
        <w:ind w:left="640" w:leftChars="200"/>
        <w:jc w:val="both"/>
        <w:rPr>
          <w:rFonts w:hint="default" w:ascii="仿宋" w:hAnsi="仿宋" w:eastAsia="仿宋" w:cs="仿宋"/>
          <w:bCs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</w:rPr>
        <w:t>七、奖励办法</w:t>
      </w:r>
      <w:r>
        <w:rPr>
          <w:rFonts w:hint="eastAsia" w:ascii="仿宋" w:hAnsi="仿宋" w:eastAsia="仿宋" w:cs="仿宋"/>
          <w:kern w:val="2"/>
          <w:sz w:val="28"/>
          <w:szCs w:val="28"/>
        </w:rPr>
        <w:t>（见开幕式入场式组优秀织奖评选标准）</w:t>
      </w:r>
    </w:p>
    <w:p>
      <w:pPr>
        <w:widowControl w:val="0"/>
        <w:numPr>
          <w:ilvl w:val="0"/>
          <w:numId w:val="0"/>
        </w:numPr>
        <w:adjustRightInd/>
        <w:snapToGrid/>
        <w:spacing w:after="0" w:line="360" w:lineRule="auto"/>
        <w:ind w:firstLine="560" w:firstLine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kern w:val="2"/>
          <w:sz w:val="28"/>
          <w:szCs w:val="28"/>
        </w:rPr>
        <w:t>未尽事宜另行通知，本办法最终解释权归校体委。</w:t>
      </w:r>
    </w:p>
    <w:p>
      <w:pPr>
        <w:widowControl w:val="0"/>
        <w:adjustRightInd/>
        <w:snapToGrid/>
        <w:spacing w:after="0" w:line="360" w:lineRule="auto"/>
        <w:ind w:firstLine="3920" w:firstLineChars="14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360" w:lineRule="auto"/>
        <w:ind w:firstLine="3920" w:firstLineChars="14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360" w:lineRule="auto"/>
        <w:ind w:firstLine="3920" w:firstLineChars="14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360" w:lineRule="auto"/>
        <w:ind w:firstLine="3920" w:firstLineChars="14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</w:p>
    <w:p>
      <w:pPr>
        <w:widowControl w:val="0"/>
        <w:adjustRightInd/>
        <w:snapToGrid/>
        <w:spacing w:after="0" w:line="360" w:lineRule="auto"/>
        <w:ind w:firstLine="4480" w:firstLineChars="16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成都大学体育运动委员会</w:t>
      </w:r>
    </w:p>
    <w:p>
      <w:pPr>
        <w:widowControl w:val="0"/>
        <w:adjustRightInd/>
        <w:snapToGrid/>
        <w:spacing w:after="0" w:line="360" w:lineRule="auto"/>
        <w:ind w:firstLine="5600" w:firstLineChars="20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2021年9月2日</w:t>
      </w:r>
    </w:p>
    <w:p>
      <w:pPr>
        <w:widowControl w:val="0"/>
        <w:adjustRightInd/>
        <w:snapToGrid/>
        <w:spacing w:after="0" w:line="360" w:lineRule="auto"/>
        <w:ind w:left="640" w:leftChars="200"/>
        <w:jc w:val="both"/>
        <w:rPr>
          <w:rFonts w:hint="eastAsia" w:ascii="仿宋" w:hAnsi="仿宋" w:eastAsia="仿宋" w:cs="仿宋"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ABB"/>
    <w:rsid w:val="000F28F9"/>
    <w:rsid w:val="00104609"/>
    <w:rsid w:val="001346D6"/>
    <w:rsid w:val="001E2523"/>
    <w:rsid w:val="00204BE1"/>
    <w:rsid w:val="00360ABB"/>
    <w:rsid w:val="0037360D"/>
    <w:rsid w:val="00435C0A"/>
    <w:rsid w:val="00640638"/>
    <w:rsid w:val="00760F91"/>
    <w:rsid w:val="0082120D"/>
    <w:rsid w:val="008E615E"/>
    <w:rsid w:val="00911AD0"/>
    <w:rsid w:val="0091381D"/>
    <w:rsid w:val="00AA17B7"/>
    <w:rsid w:val="00BE739F"/>
    <w:rsid w:val="00C02382"/>
    <w:rsid w:val="00D1785B"/>
    <w:rsid w:val="00D35DEB"/>
    <w:rsid w:val="00DC2635"/>
    <w:rsid w:val="00FE1DB5"/>
    <w:rsid w:val="37B6096E"/>
    <w:rsid w:val="638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方正小标宋_GBK" w:cstheme="minorBidi"/>
      <w:kern w:val="0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table" w:styleId="5">
    <w:name w:val="Table Grid"/>
    <w:basedOn w:val="4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837</Characters>
  <Lines>6</Lines>
  <Paragraphs>1</Paragraphs>
  <TotalTime>1</TotalTime>
  <ScaleCrop>false</ScaleCrop>
  <LinksUpToDate>false</LinksUpToDate>
  <CharactersWithSpaces>982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2021-09-02T02:40:00Z</dcterms:created>
  <dc:creator>DELL</dc:creator>
  <cp:lastModifiedBy>兔先生</cp:lastModifiedBy>
  <dcterms:modified xsi:type="dcterms:W3CDTF">2021-09-03T01:43:37Z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