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10" w:lineRule="exact"/>
        <w:rPr>
          <w:rFonts w:cs="Times New Roman" w:asciiTheme="minorEastAsia" w:hAnsiTheme="minorEastAsia" w:eastAsiaTheme="minorEastAsia"/>
          <w:color w:val="000000"/>
          <w:kern w:val="2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  <w:t>附件1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2019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成都大学“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成大杯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”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五人制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足球比赛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竞赛规程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一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、主办单位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成都大学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体育运动委员会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二、承办单位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成都大学体育学院（成都足球学院）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三、比赛日期、地点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（一）比赛时间： 201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年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11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月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12日至26日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（二）比赛地点： 成都大学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五人制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eastAsia="zh-CN"/>
        </w:rPr>
        <w:t>足球场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四、参赛学院（代表队）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机械工程学院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信息科学与工程学院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药学与生物工程学院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建筑与土木工程学院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旅游与文化产业学院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商学院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文学与新闻传播学院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外国语学院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马克思主义学院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法学院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中国-东盟艺术学院（美术与设计学院、影视与动画学院、音乐与舞蹈学院、国际部）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体育学院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（足球学院）、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医学院（护理学院）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、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师范学院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；各学院以学院名义组队，每个学院男、女各报名一支队伍参赛。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default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五、参赛资格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（一）参赛单位均以学院名称为球队名称，球队所有运动员必须同属该学院学生。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（二）参赛运动员必须是在校就读，文化课考试合格，遵守学校各项纪律和有关规定，并经医院检查证明身体健康并适宜参加足球比赛者。比赛时必须验证学生证和身份证后方可上场。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六、组别设置、报名及抽签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（一）组别设置：2019成都大学“成大杯”五人制足球比赛设男子、女子两个组别。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（二）报名日期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请各参赛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学院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于201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年11月8日18:00前将参加比赛的运动员</w:t>
      </w: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、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教练员名单以电子邮件方式报送邮箱525544833@qq.com，并将纸质报名表加盖各学院鲜章交到体育学院（足球学院办公室）；名单上报确认后不再更改。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联系人：管一世，电话：18911950846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（二）报名方法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每队报运动员14人，领队、教练、工作人员各1人。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（三）领队会及抽签时间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1.会议时间：2019年11月11日18:30。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2.会议地点：成都大学体育学院会议室。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七、竞赛办法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（一）第一阶段：小组循环赛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男子组、女子组分别经抽签将参赛队伍分为A、B、C、D组，分别进行单循环比赛，经小组循环比赛排出每小组各队名次。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决定名次办法：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1.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规定比赛时间内决出胜负者，胜队得３分，负队得０分；打平得１分；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2.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如果两队或两队以上积分相等，依下列顺序排列名次：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3.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积分相等队之间相互比赛积分多者，名次列前；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4.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积分相等队之间相互比赛净胜球多者，名次列前；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5.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积分相等队之间相互比赛进球数多者，名次列前；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6.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积分相等队之间全部比赛中净胜球多者，名次列前；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7.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积分相等队之间全部比赛中进球数多者，名次列前；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8.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公平竞赛得分高者，名次列前。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/>
          <w:kern w:val="2"/>
          <w:sz w:val="28"/>
          <w:szCs w:val="28"/>
          <w:lang w:val="en-US" w:eastAsia="zh-CN"/>
        </w:rPr>
        <w:t>9.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抽签决定名次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（二）第二阶段：交叉淘汰赛和决定其他名次的比赛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第二阶段比赛两队在规定比赛时间内打成平局，互射球点球决出当场胜负。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八、设奖办法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比赛录取前三名，分别为：冠军、亚军、季军；并评选最佳球员、最佳射手及最佳守门员。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本次比赛前八名分别按得分45、35、30、25、20、15、10、5分计入学院年度体育竞赛团体总分。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九、规则与规定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（一）执行国际足联最新审定的《室内五人制足球竞赛规则》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（二）执行《全国学生体育竞赛纪律处罚规定》及《成都大学学生管理守则》。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三）五人制比赛全场比赛时间为40分钟，分为上下半场各20分钟，每队可在上下半场各使用一次暂停，若使用暂停计时员应补足相应暂停次数的时间，比赛的最后两分钟采用净时制（若队伍在最后两分钟请求暂停计时员不再补足相应比赛时间），上下半场之间休息时间不超过10分钟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四）每队每场报名队员不得多于12人，其中一人必须为守门员。如果任何一队少于2人则比赛不能开始。在比赛中任何一队场上队员人数少于2人（包括守门员），比赛将被终止，视该队为弃权，判对方5:0胜；如此时比赛终止时场上比分已超过5:0，则以当场终止时实际比分为准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（五）参赛队必须准备2套颜色不同的比赛服装，运动员必须穿着专业足球鞋进行比赛（不可穿着钢钉及其他可能危害运动员健康的鞋子）。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六）如遇不可抗力造成比赛中断且无法恢复比赛的情况，当时比赛成绩有效。大会必须在24小时内另选合适场地补足剩余比赛时间（包括罚球点球）。如果通过多方努力，仍无法在规定时间内恢复比赛，则按照当时比赛成绩有效。必须分出比赛胜负的比赛，则由组委会抽签决定胜负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七）比赛时，每队必须自备两套颜色不同的比赛服装和护袜（守门员服装颜色区别于双方球队所有队员的服装颜色），服装颜色必须认真填写在正式报名单内；比赛队员的姓名、号码必须与报名单相符，否则不得上场比赛；守门员的比赛服装颜色要与其他队员服装颜色有明显区别；比赛队员紧身裤的颜色要与比赛短裤的颜色一致；场上队长必须自备6厘米宽与上衣颜色有明显区别的袖标；上场队员必须戴护腿板；比赛服装和护袜的颜色必须全队一致（守门员除外）。违者不得上场比赛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（八）如有不可抗拒的原因需更改比赛日期，由组委会提前通知相关球队；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（九）参赛运动员不得佩带任何饰物，否则取消其比赛资格。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（十）每个阶段比赛的同一名运动员：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1.被出示黄牌累积两次，停赛一场。（同一场比赛因连续被出示两场黄牌而被出示红牌的，该两张黄牌不做累积）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2.第一次被出示红牌，停赛一场；第二次被出示红牌，停赛两场；第三次被出示红牌，停赛四场，并以此类推，根据出示次数加倍停赛场次。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3.第一阶段未构成纪律处罚的黄牌在第二阶段自动清零。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十、比赛弃权和罢赛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（一）有未报名、未通过资格审查或未携带有效证件、或处在停赛期的运动员，代表该队参加了比赛；该球队此场比赛按弃权处理。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（二）有下列情况之一的球队属比赛罢赛: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1.非因不可抗拒的原因，且未获得组织方批准，未参加赛程规定的比赛。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2.拒绝按照组织方的安排参加补赛或改期的比赛。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3.拒绝按照裁判员的要求，在五分钟内恢复中断的比赛。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4.中途退出联赛。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（三）对弃权和罢赛的处理：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1.一方球队比赛弃权或罢赛，另一方球队以5:0获胜。如果比赛实际比分超过5:0，则以当时的实际比分结果为准。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2.双方球队比赛弃权或罢赛，双方球队本场比赛均无成绩，计0分。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3.中途退出联赛，所有与赛队的比分均计5:0获胜（无论比赛是否进行），如果比赛的实际比分超过5：0，则以当时的实际结果为准。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十一、对赛场秩序混乱造成的比赛中断的处理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left"/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因赛场秩序混乱造成的比赛中断，当值主裁和比赛监督应采取积极的措施尽量恢复比赛，比赛监督应及时与双方队长与技术部进行沟通，并由比赛监督作出是否恢复比赛的决定，裁判员，双方球队应服从比赛监督的决定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十二、其他事项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参加本次比赛的队员必须购买意外伤害保险，报到时须交验保险单复印件，未购买保险的队伍不得上场比赛。各参赛队伍由领队负责队员比赛期间的安全问题，做好安全预案，不听从组委会安排的参赛队伍将取消比赛资格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十三、本规程解释权归成都大学体育学院（成都足球学院）。</w:t>
      </w:r>
    </w:p>
    <w:p/>
    <w:p/>
    <w:p/>
    <w:p/>
    <w:p/>
    <w:p/>
    <w:p/>
    <w:p/>
    <w:p/>
    <w:p/>
    <w:p/>
    <w:p>
      <w:pPr>
        <w:widowControl w:val="0"/>
        <w:adjustRightInd/>
        <w:snapToGrid/>
        <w:spacing w:after="0" w:line="540" w:lineRule="exact"/>
        <w:ind w:firstLine="4480" w:firstLineChars="1600"/>
        <w:jc w:val="both"/>
        <w:rPr>
          <w:rFonts w:cs="Times New Roman" w:asciiTheme="minorEastAsia" w:hAnsiTheme="minorEastAsia" w:eastAsiaTheme="minorEastAsia"/>
          <w:color w:val="000000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成都大学体育运动委员会</w:t>
      </w:r>
    </w:p>
    <w:p>
      <w:pPr>
        <w:widowControl w:val="0"/>
        <w:adjustRightInd/>
        <w:snapToGrid/>
        <w:spacing w:after="0" w:line="540" w:lineRule="exact"/>
        <w:jc w:val="both"/>
        <w:rPr>
          <w:rFonts w:cs="Times New Roman" w:asciiTheme="minorEastAsia" w:hAnsiTheme="minorEastAsia" w:eastAsiaTheme="minorEastAsia"/>
          <w:color w:val="000000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 xml:space="preserve">                                   </w:t>
      </w:r>
      <w:r>
        <w:rPr>
          <w:rFonts w:cs="Times New Roman" w:asciiTheme="minorEastAsia" w:hAnsiTheme="minorEastAsia" w:eastAsiaTheme="minorEastAsia"/>
          <w:color w:val="000000"/>
          <w:kern w:val="2"/>
          <w:sz w:val="28"/>
          <w:szCs w:val="28"/>
        </w:rPr>
        <w:t>201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9年</w:t>
      </w:r>
      <w:r>
        <w:rPr>
          <w:rFonts w:hint="eastAsia" w:cs="Times New Roman" w:asciiTheme="minorEastAsia" w:hAnsiTheme="minorEastAsia"/>
          <w:color w:val="000000"/>
          <w:kern w:val="2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月</w:t>
      </w:r>
      <w:r>
        <w:rPr>
          <w:rFonts w:hint="eastAsia" w:cs="Times New Roman" w:asciiTheme="minorEastAsia" w:hAnsiTheme="minorEastAsia"/>
          <w:color w:val="000000"/>
          <w:kern w:val="2"/>
          <w:sz w:val="28"/>
          <w:szCs w:val="28"/>
          <w:lang w:val="en-US" w:eastAsia="zh-CN"/>
        </w:rPr>
        <w:t>6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6540A"/>
    <w:rsid w:val="3016540A"/>
    <w:rsid w:val="5650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2019-11-06T03:19:00Z</dcterms:created>
  <dc:creator>Teo</dc:creator>
  <cp:lastModifiedBy>兔先生1400030750</cp:lastModifiedBy>
  <dcterms:modified xsi:type="dcterms:W3CDTF">2019-11-06T03:40:28Z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